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b/>
          <w:b/>
          <w:bCs/>
          <w:color w:val="000000"/>
          <w:kern w:val="2"/>
          <w:sz w:val="28"/>
          <w:szCs w:val="28"/>
          <w:lang w:eastAsia="ru-RU"/>
          <w14:ligatures w14:val="none"/>
        </w:rPr>
      </w:pPr>
      <w:bookmarkStart w:id="0" w:name="__DdeLink__69_3830906406"/>
      <w:r>
        <w:rPr>
          <w:rFonts w:eastAsia="Times New Roman" w:cs="Segoe UI" w:ascii="Trebuchet MS" w:hAnsi="Trebuchet MS"/>
          <w:b/>
          <w:bCs/>
          <w:color w:val="000000"/>
          <w:kern w:val="2"/>
          <w:sz w:val="28"/>
          <w:szCs w:val="28"/>
          <w:lang w:eastAsia="ru-RU"/>
          <w14:ligatures w14:val="none"/>
        </w:rPr>
        <w:t>Документы, необходимые для проведения стереотаксической радиохирургии на аппарате «Гамма-нож» на коммерческой основе</w:t>
      </w:r>
      <w:bookmarkEnd w:id="0"/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bookmarkStart w:id="1" w:name="__DdeLink__157_3830906406"/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>Паспорт, СНИЛС</w:t>
      </w:r>
      <w:bookmarkEnd w:id="1"/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bookmarkStart w:id="2" w:name="__DdeLink__391_3830906406"/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>Выписка из истории болезни + заключение нейрохирурга-консультанта или радиохирурга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>Данные МРТ/КТ/ПЭТ исследования, в цифровом виде или на пленке (в зависимости от патологии)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>Анализы крови на группу и резус-фактор (ОРИГИНАЛ!)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Анализы крови на ВИЧ, гепатиты В и С, сифилис (ОРИГИНАЛ!)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Общий анализ крови (ОРИГИНАЛ!)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Общий анализ мочи (ОРИГИНАЛ!)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Биохимический анализ крови (глюкоза, общий белок, билирубин, АСАТ, АЛАТ, мочевина, креатинин) (ОРИГИНАЛ!)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Анализ крови на D-димер (ОРИГИНАЛ). При значении D-димера &gt; 1000 проведение УЗИ вен нижних конечностей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>ЭКГ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36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  <w:t xml:space="preserve">Заключение терапевта об отсутствии противопоказаний лечения на аппарате Гамма- нож.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>Анализ на COVID-19 (мазок из зева и кровь на антитела IgG, IgМ) – срок действия  анализов 3-5 дней</w:t>
      </w:r>
      <w:bookmarkEnd w:id="2"/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/>
        <w:ind w:left="360" w:hanging="0"/>
        <w:outlineLvl w:val="0"/>
        <w:rPr>
          <w:rFonts w:ascii="Trebuchet MS" w:hAnsi="Trebuchet MS" w:eastAsia="Times New Roman" w:cs="Segoe UI"/>
          <w:color w:val="000000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Segoe UI" w:ascii="Trebuchet MS" w:hAnsi="Trebuchet MS"/>
          <w:color w:val="000000"/>
          <w:kern w:val="2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Open Sans" w:ascii="Open Sans" w:hAnsi="Open Sans"/>
          <w:kern w:val="0"/>
          <w:sz w:val="24"/>
          <w:szCs w:val="24"/>
          <w:lang w:eastAsia="ru-RU"/>
          <w14:ligatures w14:val="none"/>
        </w:rPr>
        <w:t xml:space="preserve">Важно!   </w:t>
      </w:r>
      <w:r>
        <w:rPr>
          <w:rFonts w:cs="Arial" w:ascii="Arial" w:hAnsi="Arial"/>
          <w:color w:val="1A1A1A"/>
          <w:shd w:fill="FFFFFF" w:val="clear"/>
        </w:rPr>
        <w:t>ТРЕБОВАНИЯ К МРТ: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напряженность магнитного поля 1,5 или 3,0 Тесла.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режимы Т2, FLAIR, DWI, SWI.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режим 3D-SPGR (BRAVO, T1-WI) до и после в/в контрастирования, c толщиной срезов 1 мм - матрица квадратная, изотропный воксель, строго аксиальная проекция.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результат исследования записать на СD-диск в формате DICOM.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ФИО в DICOM-тэгах латиницей. Кириллица НЕ допускается.</w:t>
      </w:r>
      <w:r>
        <w:rPr>
          <w:rFonts w:cs="Arial" w:ascii="Arial" w:hAnsi="Arial"/>
          <w:color w:val="1A1A1A"/>
        </w:rPr>
        <w:br/>
      </w:r>
      <w:r>
        <w:rPr>
          <w:rFonts w:cs="Arial" w:ascii="Arial" w:hAnsi="Arial"/>
          <w:color w:val="1A1A1A"/>
          <w:shd w:fill="FFFFFF" w:val="clear"/>
        </w:rPr>
        <w:t>- НЕ допускается режим записи «multiframe».</w:t>
      </w:r>
      <w:r>
        <w:rPr>
          <w:rFonts w:cs="Arial" w:ascii="Arial" w:hAnsi="Arial"/>
          <w:color w:val="1A1A1A"/>
        </w:rPr>
        <w:br/>
        <w:br/>
      </w:r>
      <w:bookmarkStart w:id="3" w:name="__DdeLink__821_3830906406"/>
      <w:r>
        <w:rPr>
          <w:rFonts w:cs="Arial" w:ascii="Arial" w:hAnsi="Arial"/>
          <w:color w:val="1A1A1A"/>
          <w:shd w:fill="FFFFFF" w:val="clear"/>
        </w:rPr>
        <w:t>ОБРАТИТЕ ВНИМАНИЕ! К рассмотрению не принимаются исследования в отличном от указанного формате, например .mms. Уточняйте, возможность получения снимков в формате DICOM перед проведением томографии.</w:t>
      </w:r>
      <w:bookmarkEnd w:id="3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link w:val="11"/>
    <w:uiPriority w:val="9"/>
    <w:qFormat/>
    <w:rsid w:val="00ee539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e539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  <w14:ligatures w14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e539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LibreOffice/7.3.7.2$Linux_X86_64 LibreOffice_project/30$Build-2</Application>
  <AppVersion>15.0000</AppVersion>
  <Pages>1</Pages>
  <Words>216</Words>
  <Characters>1317</Characters>
  <CharactersWithSpaces>1517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2023-07-11T10:26:00Z</dcterms:created>
  <dc:creator>User</dc:creator>
  <dc:description/>
  <dc:language>ru-RU</dc:language>
  <cp:lastModifiedBy/>
  <cp:lastPrinted>2023-07-11T10:27:00Z</cp:lastPrinted>
  <dcterms:modified xsi:type="dcterms:W3CDTF">2023-07-22T21:26:10Z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